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Default Extension="jpeg" ContentType="image/jpeg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E2" w:rsidRPr="006F6EE2" w:rsidRDefault="006F6EE2" w:rsidP="006F6EE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6EE2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6F6EE2" w:rsidRPr="006F6EE2" w:rsidRDefault="006F6EE2" w:rsidP="006F6EE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6EE2">
        <w:rPr>
          <w:rFonts w:ascii="Times New Roman" w:eastAsia="Times New Roman" w:hAnsi="Times New Roman" w:cs="Times New Roman"/>
          <w:i/>
          <w:sz w:val="24"/>
          <w:szCs w:val="24"/>
        </w:rPr>
        <w:t>к письму от «___»___________2020г. № ____</w:t>
      </w:r>
    </w:p>
    <w:p w:rsidR="006F6EE2" w:rsidRPr="006F6EE2" w:rsidRDefault="006F6EE2" w:rsidP="006F6EE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</w:p>
    <w:p w:rsidR="006F6EE2" w:rsidRPr="006F6EE2" w:rsidRDefault="006F6EE2" w:rsidP="006F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6EE2" w:rsidRPr="006F6EE2" w:rsidRDefault="006F6EE2" w:rsidP="006F6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Информационный листок </w:t>
      </w:r>
    </w:p>
    <w:p w:rsidR="006F6EE2" w:rsidRPr="006F6EE2" w:rsidRDefault="006F6EE2" w:rsidP="006F6EE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t>ОГИБДД МО МВД России «Заречный» о состоянии детского дорожно-транспортного травматизма на территории оперативного обслуживания  ОГИБДД МО МВД России «Заречный»</w:t>
      </w:r>
    </w:p>
    <w:p w:rsidR="006F6EE2" w:rsidRPr="006F6EE2" w:rsidRDefault="006F6EE2" w:rsidP="006F6EE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t xml:space="preserve">за  </w:t>
      </w:r>
      <w:r w:rsidR="001F776D">
        <w:rPr>
          <w:rFonts w:ascii="Times New Roman" w:eastAsia="Times New Roman" w:hAnsi="Times New Roman" w:cs="Times New Roman"/>
          <w:b/>
          <w:sz w:val="28"/>
          <w:szCs w:val="28"/>
        </w:rPr>
        <w:t>4 месяца</w:t>
      </w: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t xml:space="preserve"> 2020 года</w:t>
      </w:r>
    </w:p>
    <w:p w:rsidR="006F6EE2" w:rsidRDefault="006F6EE2" w:rsidP="001F776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F6E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 на территории Свердловской области за </w:t>
      </w:r>
      <w:r w:rsidR="001F77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 месяца</w:t>
      </w:r>
      <w:r w:rsidRPr="006F6E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2020 года</w:t>
      </w:r>
    </w:p>
    <w:p w:rsidR="001F776D" w:rsidRDefault="001F776D" w:rsidP="001F776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F776D" w:rsidRPr="001F776D" w:rsidRDefault="001F776D" w:rsidP="001F776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6EE2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обслуживания ОГИБДД МО МВД России «Заречный» за 4 месяца 2020 года  ДТП с участием несовершеннолетних в возрасте до 16 лет зарегистрировано 1 ДТП (АППГ – 0). С участие подростков в возрасте от 16 до 18 лет зарегистрировано 1 ДТП (АППГ – 0).</w:t>
      </w: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>11 марта 2020 года в 08 часов 18 минут на ул. Ленина, 80 вс. Косулино водитель 1977 года рождения, управляя автомобилем «Опель Мокка» допустила наезд на девочку – пешехода 10 лет, которая переходила проезжую часть дороги по линии тротуара в внутридворовой территории. После осмотра медиками поставлен диагноз: ушибы мягких тканей ключицы и левого бедра. Место совершения наезда – внутридворовая территория. В момент ДТП девочка шла в школу. Маршрут движения постоянный. Входит в безопасный маршрут движения «Дом – школа – дом». При переходе проезжей части наушники не использовала, телефоном не пользовалась, каких-либо отвлекающих факторов не было. ДТП произошло по вине водителя автомобиля.</w:t>
      </w: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1F776D" w:rsidRPr="006F6EE2" w:rsidRDefault="001F776D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</w:t>
      </w: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t>состояния детского дорожно-транспортного травматизма</w:t>
      </w: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b/>
          <w:sz w:val="28"/>
          <w:szCs w:val="28"/>
        </w:rPr>
        <w:t>на территории Свердловской области за три месяца 2020 года</w:t>
      </w:r>
    </w:p>
    <w:p w:rsidR="006F6EE2" w:rsidRPr="006F6EE2" w:rsidRDefault="006F6EE2" w:rsidP="006F6EE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-95885</wp:posOffset>
            </wp:positionH>
            <wp:positionV relativeFrom="paragraph">
              <wp:posOffset>217805</wp:posOffset>
            </wp:positionV>
            <wp:extent cx="2614930" cy="2194560"/>
            <wp:effectExtent l="0" t="0" r="5080" b="0"/>
            <wp:wrapTight wrapText="bothSides">
              <wp:wrapPolygon edited="0">
                <wp:start x="236" y="469"/>
                <wp:lineTo x="236" y="20944"/>
                <wp:lineTo x="21207" y="20944"/>
                <wp:lineTo x="21207" y="469"/>
                <wp:lineTo x="236" y="469"/>
              </wp:wrapPolygon>
            </wp:wrapTight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6F6EE2" w:rsidRPr="006F6EE2" w:rsidRDefault="006F6EE2" w:rsidP="006F6EE2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Свердловской области за три месяца 2020 г.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59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br/>
        <w:t>(69; -14,5%) ДТП с участием детей, в которых 71 (74; -4,1%) ребенок получил травмы различной степени тяжести.</w:t>
      </w:r>
    </w:p>
    <w:p w:rsidR="006F6EE2" w:rsidRPr="006F6EE2" w:rsidRDefault="006F6EE2" w:rsidP="006F6EE2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Дорожно-транспортные происшествия, в результате которых пострадали дети, составили 10% от общего количества учетных ДТП.</w:t>
      </w:r>
    </w:p>
    <w:p w:rsidR="006F6EE2" w:rsidRPr="006F6EE2" w:rsidRDefault="006F6EE2" w:rsidP="006F6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>В 10 муниципальных образованиях Свердловской области отмечается рост аварийности с участием несовершеннолетних на 100%, при этом в 9 из них, происшествий в прошлом году не было зарегистрировано: Нижние Серги 4 ДТП, Каменск -Уральский 3 ДТП, в Ирбите, Новой Ляле, Красноуфимске по 2 ДТП, в Байкалово, Березовском, Верхней Салде, Тавде, Заречном по 1 ДТП.</w:t>
      </w:r>
    </w:p>
    <w:p w:rsidR="006F6EE2" w:rsidRPr="006F6EE2" w:rsidRDefault="006F6EE2" w:rsidP="006F6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181725" cy="3533775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45% (32) пострадавших в ДТП детей приходится на среднее школьное звено и 30% (21) на дошкольный возраст, при этом большая часть из них пострадала в качестве пассажиров транспортных средств. В четырнадцати случаях ДТП произошли по причине нарушения ПДД РФ водителем.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990850" cy="2514600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943225" cy="2514600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На 9% (50) произошло снижение количества числа ДТП по причине нарушения ПДД РФ водителями автотранспортных средств, однако количество раненых в них детей увеличилось на 3,3% (62).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905375" cy="285750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71% ДТП (42) произошли при неблагоприятных метеорологических условиях (пасмурно, снегопад, метель). Данный фактор косвенно мог повлиять на возникновение дорожных происшествий, в связи с тем, что при </w:t>
      </w: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ненастной погоде ухудшается видимость, тормозной и остановочный путь транспортного средства увеличивается.</w:t>
      </w:r>
    </w:p>
    <w:p w:rsidR="006F6EE2" w:rsidRPr="006F6EE2" w:rsidRDefault="006F6EE2" w:rsidP="006F6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153150" cy="188595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>65 % (38) происшествий с участием несовершеннолетних произошли в период с 12 ч.00 мин. до 21 ч. 00 мин., такая тенденция связана с активным пребыванием детей в это время на улице и интенсивностью транспорта. Самый пик аварий происходит с 8 до 9 ч. 00 мин. (8 ДТП) и с 18 до 19 ч. 00 мин. (9 ДТП).</w:t>
      </w:r>
    </w:p>
    <w:p w:rsidR="006F6EE2" w:rsidRPr="006F6EE2" w:rsidRDefault="006F6EE2" w:rsidP="006F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105525" cy="285750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категориям участников дорожного движения показатели распределились следующим образом: </w:t>
      </w:r>
    </w:p>
    <w:p w:rsidR="006F6EE2" w:rsidRPr="006F6EE2" w:rsidRDefault="006F6EE2" w:rsidP="006F6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066925" cy="1345565"/>
            <wp:effectExtent l="0" t="0" r="9525" b="6985"/>
            <wp:wrapSquare wrapText="bothSides"/>
            <wp:docPr id="15" name="Рисунок 15" descr="o7f7wrqd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o7f7wrqd4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6EE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участием </w:t>
      </w:r>
      <w:r w:rsidRPr="006F6EE2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t>детей - пассажиров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 37 (уровень АППГ) ДТП, в которых пострадали 48 (42;+14,3%) несовершеннолетних. Из них в возрасте до 12 лет травмированы 34 ребенка (35;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br/>
        <w:t>-5,6%). Из-за нарушения водителями правил перевозки детей пострадали 4 ребенка (5; -20%).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Доля ДТП с участием детей - пассажиров от общего показателя аварийности с участием детей составила 62%.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lastRenderedPageBreak/>
        <w:drawing>
          <wp:inline distT="0" distB="0" distL="0" distR="0">
            <wp:extent cx="4229100" cy="209550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 xml:space="preserve">В каждом девятом случае ребенок получил травмы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br/>
        <w:t xml:space="preserve">по причине нарушения водителем правил перевозки детей (4; -20%): Нижний Тагил - 2, в Екатеринбурге и Нижних Сергах по 1. </w:t>
      </w: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772025" cy="212407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(24).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 xml:space="preserve">Подавляющее большинство происшествий, в которых пострадали дети-пассажиры- это столкновения транспортных средств (35; +6,1%), количество травмированных в них детей увеличилось на 24,3% (45). Треть столкновений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br/>
        <w:t xml:space="preserve">(11; -31%) связана с выездом на полосу встречного движения, в данных происшествиях травмированы 18 (-18,2%) детей. По причине несоблюдения очередности проезда, пострадали 12 (+71,4%) несовершеннолетних. Из-за несоответствия скорости конкретным условиям травмированы 10 (+25%) детей. 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lastRenderedPageBreak/>
        <w:drawing>
          <wp:inline distT="0" distB="0" distL="0" distR="0">
            <wp:extent cx="4600575" cy="201930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>На автомобильных дорогах, расположенных в черте населенных пунктов, зарегистрировано 41 ДТП (-21,2%), в которых пострадали 46 (-19,3%) детей. На автомобильных дорогах вне населенных пунктов зарегистрировано 18 ДТП (+6%), травмированы 25 (+31,6%) несовершеннолетних. Из них, на дорогах федерального значения зарегистрировано 4 ДТП, в которых пострадали 6 детей. На автомобильных дорогах регионального значения зарегистрировано 15 ДТП (- 21%), в которых 19 (-5%) детей получили травмы различной степени тяжести. На дорогах местного значения зарегистрировано 38 ДТП (- 15,6%), в которых травмированы 43 (-8,5%) ребенка.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drawing>
          <wp:inline distT="0" distB="0" distL="0" distR="0">
            <wp:extent cx="5495925" cy="320992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14" name="Рисунок 14" descr="419d75ab8a1018d5f1a1a201864f6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19d75ab8a1018d5f1a1a201864f61a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С участием</w:t>
      </w:r>
      <w:r w:rsidRPr="006F6E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детей-пешеходов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t>зарегистрировано 22 (31; -29%) ДТП, в которых пострадали 23 (31; -25,8%) несовершеннолетних. От общего показателя аварийности с участием несовершеннолетних доля ДТП с участием детей- пешеходов составила 38%.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sz w:val="28"/>
          <w:szCs w:val="28"/>
        </w:rPr>
        <w:t xml:space="preserve">На 31% (9) произошло снижение количества ДТП и раненых по собственной неосторожности несовершеннолетних. </w:t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второй наезд на ребенка (11 ДТП) совершен на пешеходном переходе. В таких происшествиях травмированы 12 детей (-20%).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t xml:space="preserve">Из них на регулируемых пешеходных переходах количество ДТП и раненых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увеличилось на 20 % (5): Екатеринбург 4 ДТП (+65%), Нижний Тагил 1 ДТП (+100%). На нерегулируемых пешеходных переходах количество происшествий уменьшилось на 33,3% (6), раненых на 22% (7): Екатеринбург и Нижний Тагил по 2 ДТП, Полевской и р.п. Пышма по 1 ДТП. </w:t>
      </w:r>
    </w:p>
    <w:p w:rsidR="006F6EE2" w:rsidRPr="006F6EE2" w:rsidRDefault="006F6EE2" w:rsidP="006F6EE2">
      <w:pPr>
        <w:spacing w:after="0" w:line="240" w:lineRule="auto"/>
        <w:ind w:left="-567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943225" cy="21240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На 67% (3) снизилось количество происшествий с детьми- пешеходами в темное время суток, когда одним из сопутствующих факторов ДТП стало отсутствие у ребенка на верхней одежде или рюкзаке световозвращающих элементов.</w:t>
      </w:r>
    </w:p>
    <w:p w:rsidR="006F6EE2" w:rsidRPr="006F6EE2" w:rsidRDefault="006F6EE2" w:rsidP="006F6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14,5%, погибших на 100% и травмированных на 4,1%. Количество ДТП с участием детей- пассажиров осталось на уровне прошлого года, с участием детей-пешеходов снизилось на 29%.</w:t>
      </w:r>
    </w:p>
    <w:p w:rsidR="006F6EE2" w:rsidRPr="006F6EE2" w:rsidRDefault="006F6EE2" w:rsidP="006F6E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drawing>
          <wp:inline distT="0" distB="0" distL="0" distR="0">
            <wp:extent cx="4600575" cy="20193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9 ДТП из 59 и составляет 15% от общего количества травмированных детей: Екатеринбург 5 (-17%), в Ирбите, Новой Ляле, Красноуфимске и Качканаре по 1. </w:t>
      </w:r>
      <w:r w:rsidRPr="006F6EE2">
        <w:rPr>
          <w:rFonts w:ascii="Times New Roman" w:eastAsia="Times New Roman" w:hAnsi="Times New Roman" w:cs="Times New Roman"/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(6), неподчинение сигналам регулирования (2), переход проезжей части перед близко движущимся транспортным средством (1).</w:t>
      </w:r>
    </w:p>
    <w:p w:rsidR="006F6EE2" w:rsidRPr="006F6EE2" w:rsidRDefault="006F6EE2" w:rsidP="006F6EE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600700" cy="21717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Pr="006F6EE2" w:rsidRDefault="006F6EE2" w:rsidP="006F6EE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EE2" w:rsidRDefault="006F6EE2" w:rsidP="005F39A6">
      <w:pPr>
        <w:rPr>
          <w:rFonts w:ascii="Times New Roman" w:eastAsia="Times New Roman" w:hAnsi="Times New Roman" w:cs="Times New Roman"/>
          <w:i/>
        </w:rPr>
      </w:pPr>
    </w:p>
    <w:p w:rsidR="006F6EE2" w:rsidRDefault="006F6EE2" w:rsidP="005F39A6">
      <w:pPr>
        <w:rPr>
          <w:rFonts w:ascii="Times New Roman" w:eastAsia="Times New Roman" w:hAnsi="Times New Roman" w:cs="Times New Roman"/>
          <w:i/>
        </w:rPr>
      </w:pPr>
    </w:p>
    <w:sectPr w:rsidR="006F6EE2" w:rsidSect="00E2515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534" w:rsidRDefault="00CC7534" w:rsidP="00D16B49">
      <w:pPr>
        <w:spacing w:after="0" w:line="240" w:lineRule="auto"/>
      </w:pPr>
      <w:r>
        <w:separator/>
      </w:r>
    </w:p>
  </w:endnote>
  <w:endnote w:type="continuationSeparator" w:id="1">
    <w:p w:rsidR="00CC7534" w:rsidRDefault="00CC7534" w:rsidP="00D1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534" w:rsidRDefault="00CC7534" w:rsidP="00D16B49">
      <w:pPr>
        <w:spacing w:after="0" w:line="240" w:lineRule="auto"/>
      </w:pPr>
      <w:r>
        <w:separator/>
      </w:r>
    </w:p>
  </w:footnote>
  <w:footnote w:type="continuationSeparator" w:id="1">
    <w:p w:rsidR="00CC7534" w:rsidRDefault="00CC7534" w:rsidP="00D16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0429A"/>
    <w:multiLevelType w:val="hybridMultilevel"/>
    <w:tmpl w:val="50B0F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F3A18"/>
    <w:multiLevelType w:val="multilevel"/>
    <w:tmpl w:val="E3E46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285EFE"/>
    <w:multiLevelType w:val="hybridMultilevel"/>
    <w:tmpl w:val="E7F0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B5670"/>
    <w:multiLevelType w:val="hybridMultilevel"/>
    <w:tmpl w:val="B01A5238"/>
    <w:lvl w:ilvl="0" w:tplc="E4B0D4B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0A0"/>
    <w:rsid w:val="00060793"/>
    <w:rsid w:val="001F776D"/>
    <w:rsid w:val="00380FEC"/>
    <w:rsid w:val="00412782"/>
    <w:rsid w:val="0045414D"/>
    <w:rsid w:val="005E5F47"/>
    <w:rsid w:val="005F39A6"/>
    <w:rsid w:val="006468E1"/>
    <w:rsid w:val="00654DDE"/>
    <w:rsid w:val="006F6EE2"/>
    <w:rsid w:val="00764235"/>
    <w:rsid w:val="00790C45"/>
    <w:rsid w:val="00934953"/>
    <w:rsid w:val="00944EAD"/>
    <w:rsid w:val="009B354F"/>
    <w:rsid w:val="00B11BCC"/>
    <w:rsid w:val="00B131B7"/>
    <w:rsid w:val="00B350A0"/>
    <w:rsid w:val="00CC7534"/>
    <w:rsid w:val="00D16B49"/>
    <w:rsid w:val="00DD1890"/>
    <w:rsid w:val="00E25155"/>
    <w:rsid w:val="00E646B2"/>
    <w:rsid w:val="00FC2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List Paragraph"/>
    <w:basedOn w:val="a"/>
    <w:uiPriority w:val="34"/>
    <w:qFormat/>
    <w:rsid w:val="005E5F47"/>
    <w:pPr>
      <w:ind w:left="720"/>
      <w:contextualSpacing/>
    </w:pPr>
  </w:style>
  <w:style w:type="character" w:styleId="a7">
    <w:name w:val="footnote reference"/>
    <w:semiHidden/>
    <w:rsid w:val="00D16B49"/>
    <w:rPr>
      <w:vertAlign w:val="superscript"/>
    </w:rPr>
  </w:style>
  <w:style w:type="paragraph" w:styleId="a8">
    <w:name w:val="footnote text"/>
    <w:basedOn w:val="a"/>
    <w:link w:val="a9"/>
    <w:semiHidden/>
    <w:rsid w:val="00D1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16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6F6EE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F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6EE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List Paragraph"/>
    <w:basedOn w:val="a"/>
    <w:uiPriority w:val="34"/>
    <w:qFormat/>
    <w:rsid w:val="005E5F47"/>
    <w:pPr>
      <w:ind w:left="720"/>
      <w:contextualSpacing/>
    </w:pPr>
  </w:style>
  <w:style w:type="character" w:styleId="a7">
    <w:name w:val="footnote reference"/>
    <w:semiHidden/>
    <w:rsid w:val="00D16B49"/>
    <w:rPr>
      <w:vertAlign w:val="superscript"/>
    </w:rPr>
  </w:style>
  <w:style w:type="paragraph" w:styleId="a8">
    <w:name w:val="footnote text"/>
    <w:basedOn w:val="a"/>
    <w:link w:val="a9"/>
    <w:semiHidden/>
    <w:rsid w:val="00D1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16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6F6EE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F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6E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1.jpeg"/><Relationship Id="rId22" Type="http://schemas.openxmlformats.org/officeDocument/2006/relationships/chart" Target="charts/chart1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1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1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1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1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1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1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1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1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1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1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1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3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0</c:v>
                </c:pt>
                <c:pt idx="2">
                  <c:v>71</c:v>
                </c:pt>
              </c:numCache>
            </c:numRef>
          </c:val>
        </c:ser>
        <c:shape val="box"/>
        <c:axId val="150100992"/>
        <c:axId val="150115072"/>
        <c:axId val="0"/>
      </c:bar3DChart>
      <c:catAx>
        <c:axId val="150100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115072"/>
        <c:crosses val="autoZero"/>
        <c:auto val="1"/>
        <c:lblAlgn val="ctr"/>
        <c:lblOffset val="100"/>
      </c:catAx>
      <c:valAx>
        <c:axId val="150115072"/>
        <c:scaling>
          <c:orientation val="minMax"/>
        </c:scaling>
        <c:axPos val="l"/>
        <c:majorGridlines>
          <c:spPr>
            <a:ln w="957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100992"/>
        <c:crosses val="autoZero"/>
        <c:crossBetween val="between"/>
      </c:valAx>
      <c:spPr>
        <a:noFill/>
        <a:ln w="25543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7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9482365652"/>
          <c:y val="5.6872070095715675E-2"/>
        </c:manualLayout>
      </c:layout>
      <c:spPr>
        <a:noFill/>
        <a:ln>
          <a:noFill/>
        </a:ln>
        <a:effectLst/>
      </c:spPr>
    </c:title>
    <c:view3D>
      <c:rotX val="30"/>
      <c:perspective val="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4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4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34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34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27E-2"/>
                  <c:y val="-0.1251582888631812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0.10241306115321866"/>
                  <c:y val="6.3217524349740678E-2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4.9263072885118197E-4"/>
                  <c:y val="-4.66333296015723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98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3"/>
              <c:layout>
                <c:manualLayout>
                  <c:x val="0.11684995716491774"/>
                  <c:y val="-3.5574629000758785E-2"/>
                </c:manualLayout>
              </c:layout>
              <c:dLblPos val="bestFit"/>
              <c:showVal val="1"/>
              <c:showCatNam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0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</c:pie3DChart>
      <c:spPr>
        <a:noFill/>
        <a:ln w="25340">
          <a:noFill/>
        </a:ln>
      </c:spPr>
    </c:plotArea>
    <c:plotVisOnly val="1"/>
    <c:dispBlanksAs val="zero"/>
  </c:chart>
  <c:spPr>
    <a:solidFill>
      <a:schemeClr val="bg1"/>
    </a:solidFill>
    <a:ln w="950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</c:ser>
        <c:gapWidth val="182"/>
        <c:axId val="124977152"/>
        <c:axId val="124978688"/>
      </c:barChart>
      <c:catAx>
        <c:axId val="12497715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978688"/>
        <c:crosses val="autoZero"/>
        <c:auto val="1"/>
        <c:lblAlgn val="ctr"/>
        <c:lblOffset val="100"/>
      </c:catAx>
      <c:valAx>
        <c:axId val="124978688"/>
        <c:scaling>
          <c:orientation val="minMax"/>
        </c:scaling>
        <c:axPos val="b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977152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18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1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0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</c:ser>
        <c:firstSliceAng val="0"/>
      </c:pieChart>
      <c:spPr>
        <a:noFill/>
        <a:ln w="2535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0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45954962636039925"/>
          <c:y val="3.1595826641072855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7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perspective val="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4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4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5.3929641331216405E-3"/>
                  <c:y val="-0.16427062730902708"/>
                </c:manualLayout>
              </c:layout>
              <c:dLblPos val="bestFit"/>
              <c:showVal val="1"/>
              <c:showCatNam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0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22</c:v>
                </c:pt>
              </c:numCache>
            </c:numRef>
          </c:val>
        </c:ser>
      </c:pie3DChart>
      <c:spPr>
        <a:noFill/>
        <a:ln w="25340">
          <a:noFill/>
        </a:ln>
      </c:spPr>
    </c:plotArea>
    <c:plotVisOnly val="1"/>
    <c:dispBlanksAs val="zero"/>
  </c:chart>
  <c:spPr>
    <a:solidFill>
      <a:schemeClr val="bg1"/>
    </a:solidFill>
    <a:ln w="950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8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>
                  <a:shade val="53000"/>
                </a:schemeClr>
              </a:solidFill>
              <a:ln w="19008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6">
                  <a:shade val="76000"/>
                </a:schemeClr>
              </a:solidFill>
              <a:ln w="19008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08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6">
                  <a:tint val="77000"/>
                </a:schemeClr>
              </a:solidFill>
              <a:ln w="19008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>
                  <a:tint val="54000"/>
                </a:schemeClr>
              </a:solidFill>
              <a:ln w="19008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0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Лист1!$A$2:$A$6</c:f>
              <c:strCache>
                <c:ptCount val="5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Ирбит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firstSliceAng val="0"/>
      </c:pieChart>
      <c:spPr>
        <a:noFill/>
        <a:ln w="25344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0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38">
              <a:solidFill>
                <a:schemeClr val="lt1"/>
              </a:solidFill>
            </a:ln>
            <a:effectLst/>
          </c:spPr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38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gapWidth val="100"/>
        <c:axId val="124519936"/>
        <c:axId val="124521472"/>
      </c:barChart>
      <c:catAx>
        <c:axId val="124519936"/>
        <c:scaling>
          <c:orientation val="minMax"/>
        </c:scaling>
        <c:axPos val="l"/>
        <c:numFmt formatCode="General" sourceLinked="1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521472"/>
        <c:crosses val="autoZero"/>
        <c:auto val="1"/>
        <c:lblAlgn val="ctr"/>
        <c:lblOffset val="100"/>
      </c:catAx>
      <c:valAx>
        <c:axId val="124521472"/>
        <c:scaling>
          <c:orientation val="minMax"/>
        </c:scaling>
        <c:axPos val="b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519936"/>
        <c:crosses val="autoZero"/>
        <c:crossBetween val="between"/>
      </c:valAx>
      <c:spPr>
        <a:noFill/>
        <a:ln w="25384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25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25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25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1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18</c:v>
                </c:pt>
                <c:pt idx="2">
                  <c:v>32</c:v>
                </c:pt>
              </c:numCache>
            </c:numRef>
          </c:val>
        </c:ser>
        <c:firstSliceAng val="0"/>
      </c:pieChart>
      <c:spPr>
        <a:noFill/>
        <a:ln w="2536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25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25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1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44</c:v>
                </c:pt>
              </c:numCache>
            </c:numRef>
          </c:val>
        </c:ser>
        <c:firstSliceAng val="0"/>
      </c:pieChart>
      <c:spPr>
        <a:noFill/>
        <a:ln w="2536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10</c:v>
                </c:pt>
              </c:numCache>
            </c:numRef>
          </c:val>
        </c:ser>
        <c:gapWidth val="219"/>
        <c:overlap val="-27"/>
        <c:axId val="124709888"/>
        <c:axId val="124715776"/>
      </c:barChart>
      <c:catAx>
        <c:axId val="124709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15776"/>
        <c:crosses val="autoZero"/>
        <c:auto val="1"/>
        <c:lblAlgn val="ctr"/>
        <c:lblOffset val="100"/>
      </c:catAx>
      <c:valAx>
        <c:axId val="124715776"/>
        <c:scaling>
          <c:orientation val="minMax"/>
        </c:scaling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09888"/>
        <c:crosses val="autoZero"/>
        <c:crossBetween val="between"/>
      </c:valAx>
      <c:spPr>
        <a:noFill/>
        <a:ln w="25384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3</c:v>
                </c:pt>
              </c:numCache>
            </c:numRef>
          </c:val>
        </c:ser>
        <c:gapWidth val="219"/>
        <c:overlap val="-27"/>
        <c:axId val="124617472"/>
        <c:axId val="124619008"/>
      </c:barChart>
      <c:catAx>
        <c:axId val="124617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0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619008"/>
        <c:crosses val="autoZero"/>
        <c:auto val="1"/>
        <c:lblAlgn val="ctr"/>
        <c:lblOffset val="100"/>
      </c:catAx>
      <c:valAx>
        <c:axId val="124619008"/>
        <c:scaling>
          <c:orientation val="minMax"/>
        </c:scaling>
        <c:axPos val="l"/>
        <c:majorGridlines>
          <c:spPr>
            <a:ln w="950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617472"/>
        <c:crosses val="autoZero"/>
        <c:crossBetween val="between"/>
      </c:valAx>
      <c:spPr>
        <a:noFill/>
        <a:ln w="2534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0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10</c:v>
                </c:pt>
                <c:pt idx="2">
                  <c:v>6</c:v>
                </c:pt>
                <c:pt idx="3">
                  <c:v>13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10</c:v>
                </c:pt>
                <c:pt idx="2">
                  <c:v>7</c:v>
                </c:pt>
                <c:pt idx="3">
                  <c:v>17</c:v>
                </c:pt>
                <c:pt idx="4">
                  <c:v>7</c:v>
                </c:pt>
                <c:pt idx="5">
                  <c:v>7</c:v>
                </c:pt>
                <c:pt idx="6">
                  <c:v>12</c:v>
                </c:pt>
              </c:numCache>
            </c:numRef>
          </c:val>
        </c:ser>
        <c:gapWidth val="219"/>
        <c:axId val="124792192"/>
        <c:axId val="124839040"/>
      </c:barChart>
      <c:catAx>
        <c:axId val="124792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839040"/>
        <c:crosses val="autoZero"/>
        <c:auto val="1"/>
        <c:lblAlgn val="ctr"/>
        <c:lblOffset val="100"/>
      </c:catAx>
      <c:valAx>
        <c:axId val="124839040"/>
        <c:scaling>
          <c:orientation val="minMax"/>
        </c:scaling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92192"/>
        <c:crosses val="autoZero"/>
        <c:crossBetween val="between"/>
      </c:valAx>
      <c:spPr>
        <a:noFill/>
        <a:ln w="25384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1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69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6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44</c:v>
                </c:pt>
              </c:numCache>
            </c:numRef>
          </c:val>
        </c:ser>
        <c:firstSliceAng val="0"/>
        <c:holeSize val="75"/>
      </c:doughnutChart>
      <c:spPr>
        <a:noFill/>
        <a:ln w="25425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3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18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18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18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18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0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firstSliceAng val="0"/>
      </c:pieChart>
      <c:spPr>
        <a:noFill/>
        <a:ln w="25357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0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Юрчик</cp:lastModifiedBy>
  <cp:revision>20</cp:revision>
  <cp:lastPrinted>2019-10-22T04:32:00Z</cp:lastPrinted>
  <dcterms:created xsi:type="dcterms:W3CDTF">2019-02-27T11:30:00Z</dcterms:created>
  <dcterms:modified xsi:type="dcterms:W3CDTF">2020-05-20T09:58:00Z</dcterms:modified>
</cp:coreProperties>
</file>