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52" w:rsidRDefault="00386A52" w:rsidP="00386A52">
      <w:pPr>
        <w:jc w:val="right"/>
        <w:rPr>
          <w:sz w:val="18"/>
          <w:szCs w:val="18"/>
        </w:rPr>
      </w:pPr>
      <w:r w:rsidRPr="00201B3D">
        <w:rPr>
          <w:sz w:val="18"/>
          <w:szCs w:val="18"/>
        </w:rPr>
        <w:t>Приложение 2.</w:t>
      </w:r>
    </w:p>
    <w:p w:rsidR="00386A52" w:rsidRDefault="00386A52" w:rsidP="00386A52">
      <w:pPr>
        <w:jc w:val="center"/>
        <w:rPr>
          <w:b/>
          <w:sz w:val="20"/>
          <w:szCs w:val="20"/>
        </w:rPr>
      </w:pPr>
    </w:p>
    <w:p w:rsidR="00386A52" w:rsidRDefault="00386A52" w:rsidP="00386A52">
      <w:pPr>
        <w:jc w:val="center"/>
        <w:rPr>
          <w:b/>
          <w:szCs w:val="24"/>
        </w:rPr>
      </w:pPr>
      <w:r w:rsidRPr="00201B3D">
        <w:rPr>
          <w:b/>
          <w:szCs w:val="24"/>
        </w:rPr>
        <w:t>Рекомендации по работе с интегральным рейтингом</w:t>
      </w:r>
    </w:p>
    <w:p w:rsidR="00386A52" w:rsidRPr="004F4C78" w:rsidRDefault="00386A52" w:rsidP="00386A52">
      <w:pPr>
        <w:jc w:val="both"/>
      </w:pPr>
      <w:r w:rsidRPr="004336D0">
        <w:rPr>
          <w:b/>
        </w:rPr>
        <w:t>Рейтинг</w:t>
      </w:r>
      <w:r w:rsidRPr="004F4C78">
        <w:t xml:space="preserve"> – это форма </w:t>
      </w:r>
      <w:proofErr w:type="gramStart"/>
      <w:r w:rsidRPr="004F4C78">
        <w:t>представления результатов оценки деятельности образовательных организаций</w:t>
      </w:r>
      <w:proofErr w:type="gramEnd"/>
      <w:r w:rsidRPr="004F4C78">
        <w:t xml:space="preserve">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386A52" w:rsidRPr="004F4C78" w:rsidRDefault="00386A52" w:rsidP="00386A52">
      <w:pPr>
        <w:contextualSpacing/>
        <w:jc w:val="both"/>
      </w:pPr>
    </w:p>
    <w:p w:rsidR="00386A52" w:rsidRPr="004F4C78" w:rsidRDefault="00386A52" w:rsidP="00386A52">
      <w:pPr>
        <w:ind w:firstLine="708"/>
        <w:contextualSpacing/>
        <w:jc w:val="both"/>
      </w:pPr>
      <w:r w:rsidRPr="004336D0">
        <w:rPr>
          <w:b/>
        </w:rPr>
        <w:t xml:space="preserve">Интегральный рейтинг </w:t>
      </w:r>
      <w:r w:rsidRPr="004F4C78">
        <w:t>дошкольных 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386A52" w:rsidRPr="004F4C78" w:rsidRDefault="00386A52" w:rsidP="00386A52">
      <w:pPr>
        <w:pStyle w:val="a3"/>
        <w:numPr>
          <w:ilvl w:val="0"/>
          <w:numId w:val="3"/>
        </w:numPr>
        <w:spacing w:line="240" w:lineRule="auto"/>
        <w:jc w:val="both"/>
        <w:rPr>
          <w:bCs/>
        </w:rPr>
      </w:pPr>
      <w:r w:rsidRPr="004F4C78">
        <w:rPr>
          <w:bCs/>
        </w:rPr>
        <w:t>Открытость и доступность информации о дошкольных образовательных организациях;</w:t>
      </w:r>
    </w:p>
    <w:p w:rsidR="00386A52" w:rsidRPr="004F4C78" w:rsidRDefault="00386A52" w:rsidP="00386A52">
      <w:pPr>
        <w:pStyle w:val="a3"/>
        <w:numPr>
          <w:ilvl w:val="0"/>
          <w:numId w:val="3"/>
        </w:numPr>
        <w:spacing w:line="240" w:lineRule="auto"/>
        <w:jc w:val="both"/>
        <w:rPr>
          <w:bCs/>
        </w:rPr>
      </w:pPr>
      <w:r w:rsidRPr="004F4C78">
        <w:t>Комфортность условий, в которых осуществляется образовательная деятельность</w:t>
      </w:r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3"/>
        </w:numPr>
        <w:spacing w:line="240" w:lineRule="auto"/>
        <w:jc w:val="both"/>
        <w:rPr>
          <w:bCs/>
        </w:rPr>
      </w:pPr>
      <w:r w:rsidRPr="004F4C78">
        <w:rPr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организаций;</w:t>
      </w:r>
    </w:p>
    <w:p w:rsidR="00386A52" w:rsidRPr="004F4C78" w:rsidRDefault="00386A52" w:rsidP="00386A52">
      <w:pPr>
        <w:pStyle w:val="a3"/>
        <w:numPr>
          <w:ilvl w:val="0"/>
          <w:numId w:val="3"/>
        </w:numPr>
        <w:spacing w:line="240" w:lineRule="auto"/>
        <w:jc w:val="both"/>
        <w:rPr>
          <w:bCs/>
        </w:rPr>
      </w:pPr>
      <w:r w:rsidRPr="004F4C78">
        <w:rPr>
          <w:bCs/>
        </w:rPr>
        <w:t>Кадровые условия реализации образовательной программы дошкольного образования.</w:t>
      </w:r>
    </w:p>
    <w:p w:rsidR="00386A52" w:rsidRPr="004F4C78" w:rsidRDefault="00386A52" w:rsidP="00386A52">
      <w:pPr>
        <w:contextualSpacing/>
        <w:jc w:val="both"/>
      </w:pPr>
    </w:p>
    <w:p w:rsidR="00386A52" w:rsidRPr="004F4C78" w:rsidRDefault="00386A52" w:rsidP="00386A52">
      <w:pPr>
        <w:ind w:firstLine="708"/>
        <w:contextualSpacing/>
        <w:jc w:val="both"/>
      </w:pPr>
      <w:r w:rsidRPr="004F4C78">
        <w:t xml:space="preserve">В рамках каждого из направлений определены </w:t>
      </w:r>
      <w:r>
        <w:t>показатели:</w:t>
      </w:r>
    </w:p>
    <w:p w:rsidR="00386A52" w:rsidRPr="004F4C78" w:rsidRDefault="00386A52" w:rsidP="00386A52">
      <w:pPr>
        <w:contextualSpacing/>
        <w:jc w:val="both"/>
        <w:rPr>
          <w:sz w:val="16"/>
          <w:szCs w:val="16"/>
        </w:rPr>
      </w:pPr>
    </w:p>
    <w:p w:rsidR="00386A52" w:rsidRPr="004F4C78" w:rsidRDefault="00386A52" w:rsidP="00386A52">
      <w:pPr>
        <w:pStyle w:val="a3"/>
        <w:numPr>
          <w:ilvl w:val="0"/>
          <w:numId w:val="1"/>
        </w:numPr>
        <w:spacing w:line="240" w:lineRule="auto"/>
        <w:ind w:left="0" w:firstLine="283"/>
        <w:jc w:val="both"/>
        <w:rPr>
          <w:b/>
          <w:bCs/>
        </w:rPr>
      </w:pPr>
      <w:r w:rsidRPr="004F4C78">
        <w:rPr>
          <w:b/>
          <w:bCs/>
        </w:rPr>
        <w:t xml:space="preserve">Открытость и доступность информации о дошкольных образовательных организациях: 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rPr>
          <w:bCs/>
        </w:rPr>
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наличие на официальном сайте организации в сети Интернет сведений о педагогических работниках организации</w:t>
      </w:r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386A52" w:rsidRPr="004F4C78" w:rsidRDefault="00386A52" w:rsidP="00386A52">
      <w:pPr>
        <w:pStyle w:val="a3"/>
        <w:autoSpaceDE w:val="0"/>
        <w:autoSpaceDN w:val="0"/>
        <w:adjustRightInd w:val="0"/>
        <w:ind w:left="0" w:firstLine="283"/>
        <w:jc w:val="both"/>
        <w:rPr>
          <w:bCs/>
        </w:rPr>
      </w:pPr>
    </w:p>
    <w:p w:rsidR="00386A52" w:rsidRPr="004F4C78" w:rsidRDefault="00386A52" w:rsidP="00386A5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/>
          <w:bCs/>
        </w:rPr>
      </w:pPr>
      <w:r w:rsidRPr="004F4C78">
        <w:rPr>
          <w:b/>
        </w:rPr>
        <w:t>Комфортность условий, в которых осуществляется образовательная деятельность</w:t>
      </w:r>
      <w:r w:rsidRPr="004F4C78">
        <w:rPr>
          <w:b/>
          <w:bCs/>
        </w:rPr>
        <w:t>: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материально-техническое и информационное обеспечение ДОО</w:t>
      </w:r>
      <w:r w:rsidRPr="004F4C78">
        <w:rPr>
          <w:bCs/>
        </w:rPr>
        <w:t xml:space="preserve">; 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наличие условий для охраны и укрепления здоровья, организации питания обучающихся</w:t>
      </w:r>
      <w:r w:rsidRPr="004F4C78">
        <w:rPr>
          <w:bCs/>
        </w:rPr>
        <w:t xml:space="preserve">; 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 xml:space="preserve">условия для индивидуализации работы с </w:t>
      </w:r>
      <w:proofErr w:type="gramStart"/>
      <w:r w:rsidRPr="004F4C78">
        <w:t>обучающимися</w:t>
      </w:r>
      <w:proofErr w:type="gramEnd"/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наличие дополнительных образовательных программ</w:t>
      </w:r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spacing w:line="240" w:lineRule="auto"/>
        <w:ind w:left="0" w:firstLine="283"/>
        <w:jc w:val="both"/>
      </w:pPr>
      <w:r w:rsidRPr="004F4C78"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4F4C78">
        <w:t>обучающимся</w:t>
      </w:r>
      <w:proofErr w:type="gramEnd"/>
      <w:r w:rsidRPr="004F4C78"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наличие условий организации обучения и воспитания обучающихся с ограниченными возможностями здоровья и инвалидов.</w:t>
      </w:r>
    </w:p>
    <w:p w:rsidR="00386A52" w:rsidRPr="004F4C78" w:rsidRDefault="00386A52" w:rsidP="00386A52">
      <w:pPr>
        <w:pStyle w:val="a3"/>
        <w:autoSpaceDE w:val="0"/>
        <w:autoSpaceDN w:val="0"/>
        <w:adjustRightInd w:val="0"/>
        <w:ind w:left="0" w:firstLine="283"/>
        <w:jc w:val="both"/>
        <w:rPr>
          <w:bCs/>
          <w:sz w:val="16"/>
          <w:szCs w:val="16"/>
        </w:rPr>
      </w:pPr>
    </w:p>
    <w:p w:rsidR="00386A52" w:rsidRPr="004F4C78" w:rsidRDefault="00386A52" w:rsidP="00386A52">
      <w:pPr>
        <w:pStyle w:val="a3"/>
        <w:numPr>
          <w:ilvl w:val="0"/>
          <w:numId w:val="1"/>
        </w:numPr>
        <w:spacing w:line="240" w:lineRule="auto"/>
        <w:ind w:left="0" w:firstLine="283"/>
        <w:jc w:val="both"/>
        <w:rPr>
          <w:b/>
          <w:bCs/>
        </w:rPr>
      </w:pPr>
      <w:r w:rsidRPr="004F4C78">
        <w:rPr>
          <w:b/>
          <w:bCs/>
        </w:rPr>
        <w:t xml:space="preserve">Удовлетворенность получателей образовательных услуг качеством образовательной деятельности дошкольных образовательных организаций: 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</w:r>
      <w:r w:rsidRPr="004F4C78">
        <w:rPr>
          <w:bCs/>
        </w:rPr>
        <w:t>;</w:t>
      </w:r>
    </w:p>
    <w:p w:rsidR="00386A52" w:rsidRPr="004F4C78" w:rsidRDefault="00386A52" w:rsidP="00386A5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283"/>
        <w:jc w:val="both"/>
        <w:rPr>
          <w:bCs/>
        </w:rPr>
      </w:pPr>
      <w:r w:rsidRPr="004F4C78">
        <w:lastRenderedPageBreak/>
        <w:t>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услуг.</w:t>
      </w:r>
    </w:p>
    <w:p w:rsidR="00386A52" w:rsidRPr="004F4C78" w:rsidRDefault="00386A52" w:rsidP="00386A52">
      <w:pPr>
        <w:autoSpaceDE w:val="0"/>
        <w:autoSpaceDN w:val="0"/>
        <w:adjustRightInd w:val="0"/>
        <w:ind w:firstLine="283"/>
        <w:jc w:val="both"/>
        <w:rPr>
          <w:bCs/>
          <w:sz w:val="16"/>
          <w:szCs w:val="16"/>
        </w:rPr>
      </w:pPr>
    </w:p>
    <w:p w:rsidR="00386A52" w:rsidRPr="004F4C78" w:rsidRDefault="00386A52" w:rsidP="00386A52">
      <w:pPr>
        <w:pStyle w:val="a3"/>
        <w:numPr>
          <w:ilvl w:val="0"/>
          <w:numId w:val="1"/>
        </w:numPr>
        <w:spacing w:line="240" w:lineRule="auto"/>
        <w:ind w:left="0" w:firstLine="283"/>
        <w:jc w:val="both"/>
        <w:rPr>
          <w:b/>
          <w:bCs/>
        </w:rPr>
      </w:pPr>
      <w:r w:rsidRPr="004F4C78">
        <w:rPr>
          <w:b/>
          <w:bCs/>
        </w:rPr>
        <w:t>Кадровые условия реализации образовательной программы дошкольного образования:</w:t>
      </w:r>
    </w:p>
    <w:p w:rsidR="00386A52" w:rsidRPr="004F4C78" w:rsidRDefault="00386A52" w:rsidP="00386A52">
      <w:pPr>
        <w:pStyle w:val="a3"/>
        <w:numPr>
          <w:ilvl w:val="0"/>
          <w:numId w:val="4"/>
        </w:numPr>
        <w:spacing w:line="240" w:lineRule="auto"/>
        <w:ind w:left="0" w:firstLine="283"/>
        <w:jc w:val="both"/>
      </w:pPr>
      <w:r w:rsidRPr="004F4C78">
        <w:t>наличие у педагогических работников высшей или первой квалификационной категории;</w:t>
      </w:r>
    </w:p>
    <w:p w:rsidR="00386A52" w:rsidRPr="004F4C78" w:rsidRDefault="00386A52" w:rsidP="00386A52">
      <w:pPr>
        <w:pStyle w:val="a3"/>
        <w:numPr>
          <w:ilvl w:val="0"/>
          <w:numId w:val="4"/>
        </w:numPr>
        <w:spacing w:line="240" w:lineRule="auto"/>
        <w:ind w:left="0" w:firstLine="283"/>
        <w:jc w:val="both"/>
      </w:pPr>
      <w:r w:rsidRPr="004F4C78">
        <w:t>уровень образования педагогических работников ДОО;</w:t>
      </w:r>
    </w:p>
    <w:p w:rsidR="00386A52" w:rsidRPr="004F4C78" w:rsidRDefault="00386A52" w:rsidP="00386A52">
      <w:pPr>
        <w:pStyle w:val="a3"/>
        <w:numPr>
          <w:ilvl w:val="0"/>
          <w:numId w:val="4"/>
        </w:numPr>
        <w:spacing w:line="240" w:lineRule="auto"/>
        <w:ind w:left="0" w:firstLine="283"/>
        <w:jc w:val="both"/>
      </w:pPr>
      <w:r w:rsidRPr="004F4C78">
        <w:t>доля руководящих и педагогических работников ДОО, прошедших повышение квалификации;</w:t>
      </w:r>
    </w:p>
    <w:p w:rsidR="00386A52" w:rsidRPr="004F4C78" w:rsidRDefault="00386A52" w:rsidP="00386A52">
      <w:pPr>
        <w:pStyle w:val="a3"/>
        <w:numPr>
          <w:ilvl w:val="0"/>
          <w:numId w:val="4"/>
        </w:numPr>
        <w:spacing w:line="240" w:lineRule="auto"/>
        <w:ind w:left="0" w:firstLine="283"/>
        <w:jc w:val="both"/>
      </w:pPr>
      <w:r w:rsidRPr="004F4C78">
        <w:t>использование педагогическими работниками ДОО компьютеров и электронных сре</w:t>
      </w:r>
      <w:proofErr w:type="gramStart"/>
      <w:r w:rsidRPr="004F4C78">
        <w:t>дств дл</w:t>
      </w:r>
      <w:proofErr w:type="gramEnd"/>
      <w:r w:rsidRPr="004F4C78">
        <w:t>я занятий с детьми;</w:t>
      </w:r>
    </w:p>
    <w:p w:rsidR="00386A52" w:rsidRPr="004F4C78" w:rsidRDefault="00386A52" w:rsidP="00386A52">
      <w:pPr>
        <w:pStyle w:val="a3"/>
        <w:numPr>
          <w:ilvl w:val="0"/>
          <w:numId w:val="4"/>
        </w:numPr>
        <w:spacing w:line="240" w:lineRule="auto"/>
        <w:ind w:left="0" w:firstLine="283"/>
        <w:jc w:val="both"/>
      </w:pPr>
      <w:r w:rsidRPr="004F4C78">
        <w:t>доля получателей образовательных услуг, положительно оценивающих доброжелательность и вежливость работников организации, от общего числа опрошенных получателей образовательных услуг;</w:t>
      </w:r>
    </w:p>
    <w:p w:rsidR="00386A52" w:rsidRPr="004F4C78" w:rsidRDefault="00386A52" w:rsidP="00386A52">
      <w:pPr>
        <w:pStyle w:val="a3"/>
        <w:numPr>
          <w:ilvl w:val="0"/>
          <w:numId w:val="4"/>
        </w:numPr>
        <w:spacing w:line="240" w:lineRule="auto"/>
        <w:ind w:left="0" w:firstLine="283"/>
        <w:jc w:val="both"/>
      </w:pPr>
      <w:r w:rsidRPr="004F4C78"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услуг.</w:t>
      </w:r>
    </w:p>
    <w:p w:rsidR="00386A52" w:rsidRPr="004F4C78" w:rsidRDefault="00386A52" w:rsidP="00386A52">
      <w:pPr>
        <w:ind w:firstLine="283"/>
        <w:contextualSpacing/>
        <w:jc w:val="both"/>
      </w:pPr>
    </w:p>
    <w:p w:rsidR="00386A52" w:rsidRDefault="00386A52" w:rsidP="00386A52">
      <w:pPr>
        <w:ind w:firstLine="283"/>
        <w:contextualSpacing/>
        <w:jc w:val="both"/>
      </w:pPr>
      <w:r>
        <w:t>При анализе результатов интегрального рейтинга Вашей образовательной организации, необходимо основываться на место образовательной организации, занимаемое в таблице рейтинга, и значения по каждому из указанных критериев. Поскольку п</w:t>
      </w:r>
      <w:r w:rsidRPr="004F4C78">
        <w:t xml:space="preserve">о каждому из критериев (направлений) </w:t>
      </w:r>
      <w:r>
        <w:t xml:space="preserve">был </w:t>
      </w:r>
      <w:r w:rsidRPr="004F4C78">
        <w:t>определен комплекс показателей</w:t>
      </w:r>
      <w:r>
        <w:t>, то при анализе важно обозначить возможные проблемы, которые, на Ваш взгляд, могли повлиять на итоговый результат</w:t>
      </w:r>
      <w:r w:rsidRPr="004F4C78">
        <w:t xml:space="preserve">. </w:t>
      </w:r>
    </w:p>
    <w:p w:rsidR="00386A52" w:rsidRPr="004F4C78" w:rsidRDefault="00386A52" w:rsidP="00386A52">
      <w:pPr>
        <w:ind w:firstLine="283"/>
        <w:contextualSpacing/>
        <w:jc w:val="both"/>
      </w:pPr>
      <w:r w:rsidRPr="004F4C78">
        <w:t>Интегральный рейтинг строился на основе сводного индекса, агрегирующего базовые индикаторы.</w:t>
      </w:r>
    </w:p>
    <w:p w:rsidR="00386A52" w:rsidRPr="00A959B8" w:rsidRDefault="00386A52" w:rsidP="00386A52">
      <w:pPr>
        <w:ind w:firstLine="283"/>
        <w:contextualSpacing/>
        <w:jc w:val="both"/>
        <w:rPr>
          <w:b/>
          <w:bCs/>
        </w:rPr>
      </w:pPr>
      <w:r w:rsidRPr="00A959B8">
        <w:rPr>
          <w:b/>
        </w:rPr>
        <w:t xml:space="preserve">Минимальное значение сводного индекса (0,000), максимальное – (1,000) </w:t>
      </w:r>
    </w:p>
    <w:p w:rsidR="00386A52" w:rsidRPr="004F4C78" w:rsidRDefault="00386A52" w:rsidP="00386A52">
      <w:pPr>
        <w:ind w:firstLine="283"/>
        <w:contextualSpacing/>
        <w:jc w:val="both"/>
      </w:pPr>
      <w:r w:rsidRPr="004F4C78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</w:t>
      </w:r>
      <w:r w:rsidRPr="004874E6">
        <w:rPr>
          <w:b/>
        </w:rPr>
        <w:t xml:space="preserve">от большего к </w:t>
      </w:r>
      <w:proofErr w:type="gramStart"/>
      <w:r w:rsidRPr="004874E6">
        <w:rPr>
          <w:b/>
        </w:rPr>
        <w:t>меньшему</w:t>
      </w:r>
      <w:proofErr w:type="gramEnd"/>
      <w:r w:rsidRPr="004874E6">
        <w:rPr>
          <w:b/>
        </w:rPr>
        <w:t xml:space="preserve">. </w:t>
      </w:r>
      <w:r w:rsidRPr="004874E6">
        <w:t>Таким образом, в верхней части рейтинга располагаются дошкольные образовательные организации, имеющие наибольшее значение показателя, в нижней части рейтинга – наименьшее.</w:t>
      </w:r>
    </w:p>
    <w:p w:rsidR="00386A52" w:rsidRPr="004F4C78" w:rsidRDefault="00386A52" w:rsidP="00386A52">
      <w:pPr>
        <w:ind w:firstLine="283"/>
        <w:contextualSpacing/>
        <w:jc w:val="both"/>
        <w:rPr>
          <w:bCs/>
        </w:rPr>
      </w:pPr>
      <w:proofErr w:type="gramStart"/>
      <w:r w:rsidRPr="004F4C78">
        <w:rPr>
          <w:bCs/>
        </w:rPr>
        <w:t>Для удобства анализа общая статистическая характеристика интегрального и частных рейтингов дошкольных образовательных организаций Свердловской области представлена в таблице 2.</w:t>
      </w:r>
      <w:proofErr w:type="gramEnd"/>
    </w:p>
    <w:p w:rsidR="00386A52" w:rsidRPr="004F4C78" w:rsidRDefault="00386A52" w:rsidP="00386A52">
      <w:pPr>
        <w:ind w:firstLine="708"/>
        <w:contextualSpacing/>
        <w:jc w:val="right"/>
        <w:rPr>
          <w:bCs/>
        </w:rPr>
      </w:pPr>
      <w:r>
        <w:rPr>
          <w:bCs/>
        </w:rPr>
        <w:t>Т</w:t>
      </w:r>
      <w:r w:rsidRPr="004F4C78">
        <w:rPr>
          <w:bCs/>
        </w:rPr>
        <w:t>аблица 2</w:t>
      </w:r>
      <w:r>
        <w:rPr>
          <w:bCs/>
        </w:rPr>
        <w:t>.</w:t>
      </w:r>
    </w:p>
    <w:p w:rsidR="00386A52" w:rsidRPr="00A959B8" w:rsidRDefault="00386A52" w:rsidP="00386A52">
      <w:pPr>
        <w:contextualSpacing/>
        <w:jc w:val="center"/>
        <w:rPr>
          <w:b/>
          <w:bCs/>
          <w:sz w:val="20"/>
          <w:szCs w:val="20"/>
        </w:rPr>
      </w:pPr>
      <w:r w:rsidRPr="00A959B8">
        <w:rPr>
          <w:b/>
          <w:bCs/>
          <w:sz w:val="20"/>
          <w:szCs w:val="20"/>
        </w:rPr>
        <w:t xml:space="preserve">Общая статистическая характеристика </w:t>
      </w:r>
      <w:proofErr w:type="gramStart"/>
      <w:r w:rsidRPr="00A959B8">
        <w:rPr>
          <w:b/>
          <w:bCs/>
          <w:sz w:val="20"/>
          <w:szCs w:val="20"/>
        </w:rPr>
        <w:t>интегрального</w:t>
      </w:r>
      <w:proofErr w:type="gramEnd"/>
    </w:p>
    <w:p w:rsidR="00386A52" w:rsidRPr="00A959B8" w:rsidRDefault="00386A52" w:rsidP="00386A52">
      <w:pPr>
        <w:contextualSpacing/>
        <w:jc w:val="center"/>
        <w:rPr>
          <w:b/>
          <w:bCs/>
          <w:sz w:val="20"/>
          <w:szCs w:val="20"/>
        </w:rPr>
      </w:pPr>
      <w:r w:rsidRPr="00A959B8">
        <w:rPr>
          <w:b/>
          <w:bCs/>
          <w:sz w:val="20"/>
          <w:szCs w:val="20"/>
        </w:rPr>
        <w:t>и частных рейтингов дошкольных образовательных организаций</w:t>
      </w:r>
    </w:p>
    <w:p w:rsidR="00386A52" w:rsidRPr="004F4C78" w:rsidRDefault="00386A52" w:rsidP="00386A52">
      <w:pPr>
        <w:ind w:firstLine="708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W w:w="98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1842"/>
        <w:gridCol w:w="1701"/>
        <w:gridCol w:w="1985"/>
        <w:gridCol w:w="1559"/>
      </w:tblGrid>
      <w:tr w:rsidR="00386A52" w:rsidRPr="00A959B8" w:rsidTr="000D261E">
        <w:trPr>
          <w:tblHeader/>
        </w:trPr>
        <w:tc>
          <w:tcPr>
            <w:tcW w:w="2719" w:type="dxa"/>
            <w:vAlign w:val="center"/>
          </w:tcPr>
          <w:p w:rsidR="00386A52" w:rsidRPr="00105D7A" w:rsidRDefault="00386A52" w:rsidP="000D261E">
            <w:pPr>
              <w:ind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05D7A">
              <w:rPr>
                <w:b/>
                <w:bCs/>
                <w:sz w:val="16"/>
                <w:szCs w:val="16"/>
              </w:rPr>
              <w:t>Рейтинг</w:t>
            </w:r>
          </w:p>
        </w:tc>
        <w:tc>
          <w:tcPr>
            <w:tcW w:w="1842" w:type="dxa"/>
            <w:vAlign w:val="center"/>
          </w:tcPr>
          <w:p w:rsidR="00386A52" w:rsidRPr="00105D7A" w:rsidRDefault="00386A52" w:rsidP="000D261E">
            <w:pPr>
              <w:ind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05D7A">
              <w:rPr>
                <w:b/>
                <w:bCs/>
                <w:sz w:val="16"/>
                <w:szCs w:val="16"/>
              </w:rPr>
              <w:t>Максимальное значение</w:t>
            </w:r>
          </w:p>
        </w:tc>
        <w:tc>
          <w:tcPr>
            <w:tcW w:w="1701" w:type="dxa"/>
            <w:vAlign w:val="center"/>
          </w:tcPr>
          <w:p w:rsidR="00386A52" w:rsidRPr="00105D7A" w:rsidRDefault="00386A52" w:rsidP="000D261E">
            <w:pPr>
              <w:ind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05D7A">
              <w:rPr>
                <w:b/>
                <w:bCs/>
                <w:sz w:val="16"/>
                <w:szCs w:val="16"/>
              </w:rPr>
              <w:t>Минимальное значение</w:t>
            </w:r>
          </w:p>
        </w:tc>
        <w:tc>
          <w:tcPr>
            <w:tcW w:w="1985" w:type="dxa"/>
            <w:vAlign w:val="center"/>
          </w:tcPr>
          <w:p w:rsidR="00386A52" w:rsidRPr="00105D7A" w:rsidRDefault="00386A52" w:rsidP="000D261E">
            <w:pPr>
              <w:ind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05D7A">
              <w:rPr>
                <w:b/>
                <w:bCs/>
                <w:sz w:val="16"/>
                <w:szCs w:val="16"/>
              </w:rPr>
              <w:t>Разница между максимальным и минимальным значением</w:t>
            </w:r>
          </w:p>
        </w:tc>
        <w:tc>
          <w:tcPr>
            <w:tcW w:w="1559" w:type="dxa"/>
            <w:vAlign w:val="center"/>
          </w:tcPr>
          <w:p w:rsidR="00386A52" w:rsidRPr="00105D7A" w:rsidRDefault="00386A52" w:rsidP="000D261E">
            <w:pPr>
              <w:ind w:firstLine="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105D7A">
              <w:rPr>
                <w:b/>
                <w:bCs/>
                <w:sz w:val="16"/>
                <w:szCs w:val="16"/>
              </w:rPr>
              <w:t>Медианное (срединное) значение</w:t>
            </w:r>
            <w:r w:rsidRPr="00105D7A">
              <w:rPr>
                <w:rStyle w:val="a6"/>
                <w:b/>
                <w:sz w:val="16"/>
                <w:szCs w:val="16"/>
              </w:rPr>
              <w:footnoteReference w:id="1"/>
            </w:r>
          </w:p>
        </w:tc>
      </w:tr>
      <w:tr w:rsidR="00386A52" w:rsidRPr="00A959B8" w:rsidTr="000D261E">
        <w:trPr>
          <w:trHeight w:val="832"/>
        </w:trPr>
        <w:tc>
          <w:tcPr>
            <w:tcW w:w="2719" w:type="dxa"/>
            <w:vAlign w:val="center"/>
          </w:tcPr>
          <w:p w:rsidR="00386A52" w:rsidRPr="00A959B8" w:rsidRDefault="00386A52" w:rsidP="000D261E">
            <w:pPr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A959B8">
              <w:rPr>
                <w:bCs/>
                <w:sz w:val="16"/>
                <w:szCs w:val="16"/>
              </w:rPr>
              <w:t>Частный рейтинг 1. Открытость и доступность информации о дошкольных образовательных организациях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1,00000000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0,12500000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0,87500000</w:t>
            </w:r>
          </w:p>
        </w:tc>
        <w:tc>
          <w:tcPr>
            <w:tcW w:w="1559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0,92506646</w:t>
            </w:r>
          </w:p>
        </w:tc>
      </w:tr>
      <w:tr w:rsidR="00386A52" w:rsidRPr="00A959B8" w:rsidTr="000D261E">
        <w:tc>
          <w:tcPr>
            <w:tcW w:w="2719" w:type="dxa"/>
            <w:vAlign w:val="center"/>
          </w:tcPr>
          <w:p w:rsidR="00386A52" w:rsidRPr="00A959B8" w:rsidRDefault="00386A52" w:rsidP="000D261E">
            <w:pPr>
              <w:widowControl w:val="0"/>
              <w:suppressAutoHyphens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A959B8">
              <w:rPr>
                <w:bCs/>
                <w:sz w:val="16"/>
                <w:szCs w:val="16"/>
              </w:rPr>
              <w:t xml:space="preserve">Частный рейтинг 2. </w:t>
            </w:r>
            <w:r w:rsidRPr="00A959B8">
              <w:rPr>
                <w:sz w:val="16"/>
                <w:szCs w:val="16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0,88920994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0,12542944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0,76378050</w:t>
            </w:r>
          </w:p>
        </w:tc>
        <w:tc>
          <w:tcPr>
            <w:tcW w:w="1559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0,43518267</w:t>
            </w:r>
          </w:p>
        </w:tc>
      </w:tr>
      <w:tr w:rsidR="00386A52" w:rsidRPr="00A959B8" w:rsidTr="000D261E">
        <w:tc>
          <w:tcPr>
            <w:tcW w:w="2719" w:type="dxa"/>
            <w:vAlign w:val="center"/>
          </w:tcPr>
          <w:p w:rsidR="00386A52" w:rsidRPr="00A959B8" w:rsidRDefault="00386A52" w:rsidP="000D261E">
            <w:pPr>
              <w:widowControl w:val="0"/>
              <w:tabs>
                <w:tab w:val="center" w:pos="318"/>
                <w:tab w:val="right" w:pos="1811"/>
              </w:tabs>
              <w:suppressAutoHyphens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A959B8">
              <w:rPr>
                <w:bCs/>
                <w:sz w:val="16"/>
                <w:szCs w:val="16"/>
              </w:rPr>
              <w:t>Частный рейтинг 3. 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1,00000000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0,00000000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1,00000000</w:t>
            </w:r>
          </w:p>
        </w:tc>
        <w:tc>
          <w:tcPr>
            <w:tcW w:w="1559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0,88496880</w:t>
            </w:r>
          </w:p>
        </w:tc>
      </w:tr>
      <w:tr w:rsidR="00386A52" w:rsidRPr="00A959B8" w:rsidTr="000D261E">
        <w:tc>
          <w:tcPr>
            <w:tcW w:w="2719" w:type="dxa"/>
            <w:vAlign w:val="center"/>
          </w:tcPr>
          <w:p w:rsidR="00386A52" w:rsidRPr="00A959B8" w:rsidRDefault="00386A52" w:rsidP="000D261E">
            <w:pPr>
              <w:widowControl w:val="0"/>
              <w:tabs>
                <w:tab w:val="center" w:pos="318"/>
                <w:tab w:val="right" w:pos="1811"/>
              </w:tabs>
              <w:suppressAutoHyphens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 w:rsidRPr="00A959B8">
              <w:rPr>
                <w:bCs/>
                <w:sz w:val="16"/>
                <w:szCs w:val="16"/>
              </w:rPr>
              <w:t>Частный рейтинг 4. Кадровые условия реализации образовательной программы дошкольного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0,90495868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0,02545455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0,87950413</w:t>
            </w:r>
          </w:p>
        </w:tc>
        <w:tc>
          <w:tcPr>
            <w:tcW w:w="1559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sz w:val="16"/>
                <w:szCs w:val="16"/>
              </w:rPr>
            </w:pPr>
            <w:r w:rsidRPr="00A959B8">
              <w:rPr>
                <w:sz w:val="16"/>
                <w:szCs w:val="16"/>
              </w:rPr>
              <w:t>0,76259779</w:t>
            </w:r>
          </w:p>
        </w:tc>
      </w:tr>
      <w:tr w:rsidR="00386A52" w:rsidRPr="00A959B8" w:rsidTr="000D261E">
        <w:trPr>
          <w:trHeight w:val="423"/>
        </w:trPr>
        <w:tc>
          <w:tcPr>
            <w:tcW w:w="2719" w:type="dxa"/>
            <w:vAlign w:val="center"/>
          </w:tcPr>
          <w:p w:rsidR="00386A52" w:rsidRPr="00A959B8" w:rsidRDefault="00386A52" w:rsidP="000D261E">
            <w:pPr>
              <w:widowControl w:val="0"/>
              <w:tabs>
                <w:tab w:val="center" w:pos="318"/>
                <w:tab w:val="right" w:pos="1811"/>
              </w:tabs>
              <w:suppressAutoHyphens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959B8">
              <w:rPr>
                <w:b/>
                <w:bCs/>
                <w:sz w:val="16"/>
                <w:szCs w:val="16"/>
              </w:rPr>
              <w:t>Интегральный рейтинг</w:t>
            </w:r>
          </w:p>
        </w:tc>
        <w:tc>
          <w:tcPr>
            <w:tcW w:w="1842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959B8">
              <w:rPr>
                <w:b/>
                <w:sz w:val="16"/>
                <w:szCs w:val="16"/>
              </w:rPr>
              <w:t>0,90828750</w:t>
            </w:r>
          </w:p>
        </w:tc>
        <w:tc>
          <w:tcPr>
            <w:tcW w:w="1701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959B8">
              <w:rPr>
                <w:b/>
                <w:sz w:val="16"/>
                <w:szCs w:val="16"/>
              </w:rPr>
              <w:t>0,11217275</w:t>
            </w:r>
          </w:p>
        </w:tc>
        <w:tc>
          <w:tcPr>
            <w:tcW w:w="1985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959B8">
              <w:rPr>
                <w:b/>
                <w:sz w:val="16"/>
                <w:szCs w:val="16"/>
              </w:rPr>
              <w:t>0,79611475</w:t>
            </w:r>
          </w:p>
        </w:tc>
        <w:tc>
          <w:tcPr>
            <w:tcW w:w="1559" w:type="dxa"/>
            <w:vAlign w:val="center"/>
          </w:tcPr>
          <w:p w:rsidR="00386A52" w:rsidRPr="00A959B8" w:rsidRDefault="00386A52" w:rsidP="000D261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959B8">
              <w:rPr>
                <w:b/>
                <w:sz w:val="16"/>
                <w:szCs w:val="16"/>
              </w:rPr>
              <w:t>0,74789065</w:t>
            </w:r>
          </w:p>
        </w:tc>
      </w:tr>
    </w:tbl>
    <w:p w:rsidR="00386A52" w:rsidRDefault="00386A52" w:rsidP="00386A52">
      <w:pPr>
        <w:ind w:firstLine="708"/>
        <w:contextualSpacing/>
        <w:jc w:val="both"/>
      </w:pPr>
      <w:r>
        <w:lastRenderedPageBreak/>
        <w:t xml:space="preserve">При анализе результатов значений по каждому из показателей, необходимо сравнить значение с </w:t>
      </w:r>
      <w:proofErr w:type="gramStart"/>
      <w:r>
        <w:t>минимальным</w:t>
      </w:r>
      <w:proofErr w:type="gramEnd"/>
      <w:r>
        <w:t xml:space="preserve"> и максимальным (таблица 2.), а также с медианным (срединным) для того, чтобы понять, насколько близко значение Вашей организации приближается к одному из них.</w:t>
      </w:r>
    </w:p>
    <w:p w:rsidR="00386A52" w:rsidRDefault="00386A52" w:rsidP="00386A52">
      <w:pPr>
        <w:ind w:firstLine="708"/>
        <w:contextualSpacing/>
        <w:jc w:val="both"/>
      </w:pPr>
      <w:r>
        <w:t>И н</w:t>
      </w:r>
      <w:r w:rsidRPr="004F4C78">
        <w:t xml:space="preserve">а основании </w:t>
      </w:r>
      <w:r>
        <w:t xml:space="preserve">анализа </w:t>
      </w:r>
      <w:r w:rsidRPr="004F4C78">
        <w:t>представленных данных сделать выводы</w:t>
      </w:r>
      <w:r>
        <w:t xml:space="preserve"> о проблемах в Вашей образовательной организации.</w:t>
      </w:r>
    </w:p>
    <w:p w:rsidR="00386A52" w:rsidRDefault="00386A52" w:rsidP="00386A52">
      <w:pPr>
        <w:ind w:firstLine="708"/>
        <w:contextualSpacing/>
        <w:jc w:val="both"/>
      </w:pPr>
    </w:p>
    <w:p w:rsidR="00386A52" w:rsidRPr="00137F55" w:rsidRDefault="00386A52" w:rsidP="00386A52">
      <w:pPr>
        <w:ind w:firstLine="708"/>
        <w:contextualSpacing/>
        <w:jc w:val="both"/>
        <w:rPr>
          <w:b/>
          <w:i/>
          <w:u w:val="single"/>
        </w:rPr>
      </w:pPr>
      <w:r w:rsidRPr="00137F55">
        <w:rPr>
          <w:b/>
          <w:i/>
          <w:u w:val="single"/>
        </w:rPr>
        <w:t>Например:</w:t>
      </w:r>
    </w:p>
    <w:p w:rsidR="00386A52" w:rsidRPr="00137F55" w:rsidRDefault="00386A52" w:rsidP="00386A52">
      <w:pPr>
        <w:ind w:firstLine="708"/>
        <w:contextualSpacing/>
        <w:jc w:val="both"/>
        <w:rPr>
          <w:bCs/>
          <w:i/>
        </w:rPr>
      </w:pPr>
      <w:r w:rsidRPr="00137F55">
        <w:rPr>
          <w:i/>
        </w:rPr>
        <w:t>Дошкольные</w:t>
      </w:r>
      <w:r w:rsidRPr="00137F55">
        <w:rPr>
          <w:bCs/>
          <w:i/>
        </w:rPr>
        <w:t xml:space="preserve"> образовательные организации, занявшие верхние позиции интегрального рейтинга, имеют значения показателя, близкие к максимально возможному значению интегрального рейтинга (1,000). Т.е. практически в полной степени соответствуют </w:t>
      </w:r>
      <w:r w:rsidRPr="00137F55">
        <w:rPr>
          <w:i/>
        </w:rPr>
        <w:t>современным требованиям, предъявляемым к качеству образовательной деятельности организаций, осуществляющих образовательную деятельность.</w:t>
      </w:r>
    </w:p>
    <w:p w:rsidR="00386A52" w:rsidRPr="00137F55" w:rsidRDefault="00386A52" w:rsidP="00386A52">
      <w:pPr>
        <w:ind w:firstLine="708"/>
        <w:contextualSpacing/>
        <w:jc w:val="both"/>
        <w:rPr>
          <w:bCs/>
          <w:i/>
        </w:rPr>
      </w:pPr>
      <w:r w:rsidRPr="00137F55">
        <w:rPr>
          <w:i/>
        </w:rPr>
        <w:t xml:space="preserve">Максимальное значение </w:t>
      </w:r>
      <w:r w:rsidRPr="00137F55">
        <w:rPr>
          <w:b/>
          <w:i/>
        </w:rPr>
        <w:t>интегрального рейтинга</w:t>
      </w:r>
      <w:r w:rsidRPr="00137F55">
        <w:rPr>
          <w:i/>
        </w:rPr>
        <w:t xml:space="preserve"> составило</w:t>
      </w:r>
      <w:proofErr w:type="gramStart"/>
      <w:r w:rsidRPr="00137F55">
        <w:rPr>
          <w:i/>
        </w:rPr>
        <w:br/>
        <w:t>И</w:t>
      </w:r>
      <w:proofErr w:type="gramEnd"/>
      <w:r w:rsidRPr="00137F55">
        <w:rPr>
          <w:i/>
        </w:rPr>
        <w:t xml:space="preserve"> = 0,90828750; минимальное значение И = 0,11217275 (таблиц</w:t>
      </w:r>
      <w:r>
        <w:rPr>
          <w:i/>
        </w:rPr>
        <w:t>а</w:t>
      </w:r>
      <w:r w:rsidRPr="00137F55">
        <w:rPr>
          <w:i/>
        </w:rPr>
        <w:t xml:space="preserve"> 2). </w:t>
      </w:r>
    </w:p>
    <w:p w:rsidR="00386A52" w:rsidRPr="00137F55" w:rsidRDefault="00386A52" w:rsidP="00386A52">
      <w:pPr>
        <w:ind w:firstLine="708"/>
        <w:contextualSpacing/>
        <w:jc w:val="both"/>
        <w:rPr>
          <w:i/>
        </w:rPr>
      </w:pPr>
      <w:r w:rsidRPr="00137F55">
        <w:rPr>
          <w:bCs/>
          <w:i/>
        </w:rPr>
        <w:t xml:space="preserve">Разница между максимальным и минимальным значением интегрального рейтинга является довольно значимой и составляет </w:t>
      </w:r>
      <w:r w:rsidRPr="00137F55">
        <w:rPr>
          <w:i/>
        </w:rPr>
        <w:t>0,79611475. Это свидетельствует о том, что ситуация в дошкольных образовательных организациях Свердловской области довольно значительно различается по ключевым характеристикам образовательной деятельности.</w:t>
      </w:r>
    </w:p>
    <w:p w:rsidR="00386A52" w:rsidRPr="00137F55" w:rsidRDefault="00386A52" w:rsidP="00386A52">
      <w:pPr>
        <w:contextualSpacing/>
        <w:jc w:val="both"/>
        <w:rPr>
          <w:i/>
        </w:rPr>
      </w:pPr>
      <w:r w:rsidRPr="00137F55">
        <w:rPr>
          <w:bCs/>
          <w:i/>
        </w:rPr>
        <w:t xml:space="preserve">Медианное значение интегрального рейтинга (И = </w:t>
      </w:r>
      <w:r w:rsidRPr="00137F55">
        <w:rPr>
          <w:i/>
        </w:rPr>
        <w:t xml:space="preserve">0,74789065) означает, что для значительной части дошкольных образовательных организаций, которые составляют верхнюю часть рейтинга, характерны довольно высокие значения интегрального рейтинга (И&gt;0,500), т.е. по довольно значительному перечню показателей и индикаторов качество образовательной деятельности ДОО соответствует предъявляемым требованиям. </w:t>
      </w:r>
    </w:p>
    <w:p w:rsidR="00386A52" w:rsidRPr="00137F55" w:rsidRDefault="00386A52" w:rsidP="00386A52">
      <w:pPr>
        <w:contextualSpacing/>
        <w:jc w:val="both"/>
        <w:rPr>
          <w:i/>
        </w:rPr>
      </w:pPr>
      <w:r w:rsidRPr="00137F55">
        <w:rPr>
          <w:i/>
        </w:rPr>
        <w:t xml:space="preserve">Только 30 дошкольных образовательных организаций имеют значение интегрального рейтинга менее 0,500, то есть качество их образовательной деятельности не соответствует большей части предъявляемых требований. </w:t>
      </w:r>
    </w:p>
    <w:p w:rsidR="00386A52" w:rsidRPr="004F4C78" w:rsidRDefault="00386A52" w:rsidP="00386A52">
      <w:pPr>
        <w:jc w:val="both"/>
      </w:pPr>
    </w:p>
    <w:p w:rsidR="00386A52" w:rsidRPr="004F4C78" w:rsidRDefault="00386A52" w:rsidP="00386A52">
      <w:pPr>
        <w:ind w:firstLine="708"/>
        <w:contextualSpacing/>
        <w:jc w:val="both"/>
      </w:pPr>
      <w:r>
        <w:t>Проанализировав данные по каждому частному показателю,</w:t>
      </w:r>
      <w:r w:rsidRPr="004F4C78">
        <w:t xml:space="preserve"> </w:t>
      </w:r>
      <w:r>
        <w:t>можно</w:t>
      </w:r>
      <w:r w:rsidRPr="004F4C78">
        <w:t xml:space="preserve"> оценить, за счет реализации каких направлений деятельности </w:t>
      </w:r>
      <w:r>
        <w:t xml:space="preserve">Ваша </w:t>
      </w:r>
      <w:r w:rsidRPr="004F4C78">
        <w:t>образовательн</w:t>
      </w:r>
      <w:r>
        <w:t>ая</w:t>
      </w:r>
      <w:r w:rsidRPr="004F4C78">
        <w:t xml:space="preserve"> организации в настоящее время достига</w:t>
      </w:r>
      <w:r>
        <w:t>е</w:t>
      </w:r>
      <w:r w:rsidRPr="004F4C78">
        <w:t>т успеха, и с чем связаны причины отставания.</w:t>
      </w: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386A52" w:rsidRDefault="00386A52" w:rsidP="00386A52">
      <w:pPr>
        <w:jc w:val="both"/>
        <w:rPr>
          <w:szCs w:val="24"/>
        </w:rPr>
      </w:pPr>
    </w:p>
    <w:p w:rsidR="00905524" w:rsidRDefault="00905524">
      <w:bookmarkStart w:id="0" w:name="_GoBack"/>
      <w:bookmarkEnd w:id="0"/>
    </w:p>
    <w:sectPr w:rsidR="00905524" w:rsidSect="00386A52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B2" w:rsidRDefault="000770B2" w:rsidP="00386A52">
      <w:pPr>
        <w:spacing w:line="240" w:lineRule="auto"/>
      </w:pPr>
      <w:r>
        <w:separator/>
      </w:r>
    </w:p>
  </w:endnote>
  <w:endnote w:type="continuationSeparator" w:id="0">
    <w:p w:rsidR="000770B2" w:rsidRDefault="000770B2" w:rsidP="00386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B2" w:rsidRDefault="000770B2" w:rsidP="00386A52">
      <w:pPr>
        <w:spacing w:line="240" w:lineRule="auto"/>
      </w:pPr>
      <w:r>
        <w:separator/>
      </w:r>
    </w:p>
  </w:footnote>
  <w:footnote w:type="continuationSeparator" w:id="0">
    <w:p w:rsidR="000770B2" w:rsidRDefault="000770B2" w:rsidP="00386A52">
      <w:pPr>
        <w:spacing w:line="240" w:lineRule="auto"/>
      </w:pPr>
      <w:r>
        <w:continuationSeparator/>
      </w:r>
    </w:p>
  </w:footnote>
  <w:footnote w:id="1">
    <w:p w:rsidR="00386A52" w:rsidRPr="006D1F6D" w:rsidRDefault="00386A52" w:rsidP="00386A52">
      <w:pPr>
        <w:pStyle w:val="a4"/>
      </w:pPr>
      <w:r w:rsidRPr="00A959B8">
        <w:rPr>
          <w:rStyle w:val="a6"/>
          <w:sz w:val="16"/>
          <w:szCs w:val="16"/>
        </w:rPr>
        <w:footnoteRef/>
      </w:r>
      <w:r w:rsidRPr="00A959B8">
        <w:rPr>
          <w:sz w:val="16"/>
          <w:szCs w:val="16"/>
        </w:rPr>
        <w:t xml:space="preserve"> «</w:t>
      </w:r>
      <w:r w:rsidRPr="00EF69DC">
        <w:rPr>
          <w:rStyle w:val="glossary-term"/>
          <w:b/>
          <w:bCs/>
          <w:sz w:val="16"/>
          <w:szCs w:val="16"/>
        </w:rPr>
        <w:t>Медиана.</w:t>
      </w:r>
      <w:r w:rsidRPr="00A959B8">
        <w:rPr>
          <w:rStyle w:val="apple-converted-space"/>
          <w:b/>
          <w:bCs/>
          <w:sz w:val="16"/>
          <w:szCs w:val="16"/>
        </w:rPr>
        <w:t> </w:t>
      </w:r>
      <w:r w:rsidRPr="00A959B8">
        <w:rPr>
          <w:rStyle w:val="glossary-definition"/>
          <w:sz w:val="16"/>
          <w:szCs w:val="16"/>
        </w:rPr>
        <w:t xml:space="preserve">Значение, выше и ниже которого попадает по половине наблюдений, иначе 50-й </w:t>
      </w:r>
      <w:proofErr w:type="spellStart"/>
      <w:r w:rsidRPr="00A959B8">
        <w:rPr>
          <w:rStyle w:val="glossary-definition"/>
          <w:sz w:val="16"/>
          <w:szCs w:val="16"/>
        </w:rPr>
        <w:t>процентиль</w:t>
      </w:r>
      <w:proofErr w:type="spellEnd"/>
      <w:r w:rsidRPr="00A959B8">
        <w:rPr>
          <w:rStyle w:val="glossary-definition"/>
          <w:sz w:val="16"/>
          <w:szCs w:val="16"/>
        </w:rPr>
        <w:t>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</w:t>
      </w:r>
      <w:r w:rsidRPr="00366A21">
        <w:rPr>
          <w:rStyle w:val="glossary-definitio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52"/>
    <w:rsid w:val="000770B2"/>
    <w:rsid w:val="00386A52"/>
    <w:rsid w:val="00444C84"/>
    <w:rsid w:val="0090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52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A52"/>
  </w:style>
  <w:style w:type="paragraph" w:styleId="a3">
    <w:name w:val="List Paragraph"/>
    <w:basedOn w:val="a"/>
    <w:uiPriority w:val="34"/>
    <w:qFormat/>
    <w:rsid w:val="00386A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86A52"/>
    <w:pPr>
      <w:spacing w:line="240" w:lineRule="auto"/>
      <w:jc w:val="both"/>
    </w:pPr>
    <w:rPr>
      <w:rFonts w:eastAsia="SimSun" w:cs="Mang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86A52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6A52"/>
    <w:rPr>
      <w:vertAlign w:val="superscript"/>
    </w:rPr>
  </w:style>
  <w:style w:type="character" w:customStyle="1" w:styleId="glossary-term">
    <w:name w:val="glossary-term"/>
    <w:basedOn w:val="a0"/>
    <w:rsid w:val="00386A52"/>
  </w:style>
  <w:style w:type="character" w:customStyle="1" w:styleId="glossary-definition">
    <w:name w:val="glossary-definition"/>
    <w:basedOn w:val="a0"/>
    <w:rsid w:val="003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52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A52"/>
  </w:style>
  <w:style w:type="paragraph" w:styleId="a3">
    <w:name w:val="List Paragraph"/>
    <w:basedOn w:val="a"/>
    <w:uiPriority w:val="34"/>
    <w:qFormat/>
    <w:rsid w:val="00386A5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86A52"/>
    <w:pPr>
      <w:spacing w:line="240" w:lineRule="auto"/>
      <w:jc w:val="both"/>
    </w:pPr>
    <w:rPr>
      <w:rFonts w:eastAsia="SimSun" w:cs="Mang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86A52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6A52"/>
    <w:rPr>
      <w:vertAlign w:val="superscript"/>
    </w:rPr>
  </w:style>
  <w:style w:type="character" w:customStyle="1" w:styleId="glossary-term">
    <w:name w:val="glossary-term"/>
    <w:basedOn w:val="a0"/>
    <w:rsid w:val="00386A52"/>
  </w:style>
  <w:style w:type="character" w:customStyle="1" w:styleId="glossary-definition">
    <w:name w:val="glossary-definition"/>
    <w:basedOn w:val="a0"/>
    <w:rsid w:val="003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2016-12-19T11:28:00Z</dcterms:created>
  <dcterms:modified xsi:type="dcterms:W3CDTF">2016-12-19T11:28:00Z</dcterms:modified>
</cp:coreProperties>
</file>